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Staircase Quotation Enquiry Form</w:t>
      </w:r>
    </w:p>
    <w:p>
      <w:pPr>
        <w:spacing w:after="120"/>
      </w:pPr>
      <w:r>
        <w:t>Use one record per staircase or repeated type. In Word, click each grey response to type. Mark missing information To confirm. Repeat the flight record on page 2 for additional flights. This form records the quotation basis; it does not authorize fabrication.</w:t>
      </w:r>
    </w:p>
    <w:p>
      <w:pPr>
        <w:pStyle w:val="Heading1"/>
      </w:pPr>
      <w:r>
        <w:t>Project and enquiry record</w:t>
      </w:r>
    </w:p>
    <w:p>
      <w:pPr>
        <w:tabs>
          <w:tab w:pos="5256" w:val="left"/>
        </w:tabs>
        <w:spacing w:after="100"/>
      </w:pPr>
      <w:r>
        <w:rPr>
          <w:b/>
        </w:rPr>
        <w:t xml:space="preserve">RFQ reference  </w:t>
      </w:r>
      <w:sdt>
        <w:sdtPr>
          <w:tag w:val="RFQ_REF"/>
          <w:alias w:val="RFQ_REF"/>
          <w:text/>
          <w:id w:val="1001"/>
        </w:sdtPr>
        <w:sdtContent>
          <w:r>
            <w:rPr>
              <w:color w:val="555555"/>
            </w:rPr>
            <w:t>To confirm</w:t>
          </w:r>
        </w:sdtContent>
      </w:sdt>
      <w:r>
        <w:tab/>
      </w:r>
      <w:r>
        <w:rPr>
          <w:b/>
        </w:rPr>
        <w:t xml:space="preserve">Revision and issue date  </w:t>
      </w:r>
      <w:sdt>
        <w:sdtPr>
          <w:tag w:val="RFQ_REV_DATE"/>
          <w:alias w:val="RFQ_REV_DATE"/>
          <w:text/>
          <w:id w:val="1002"/>
        </w:sdtPr>
        <w:sdtContent>
          <w:r>
            <w:rPr>
              <w:color w:val="555555"/>
            </w:rPr>
            <w:t>To confirm</w:t>
          </w:r>
        </w:sdtContent>
      </w:sdt>
    </w:p>
    <w:p>
      <w:pPr>
        <w:spacing w:after="100"/>
      </w:pPr>
      <w:r>
        <w:rPr>
          <w:b/>
        </w:rPr>
        <w:t xml:space="preserve">Project and delivery location  </w:t>
      </w:r>
      <w:sdt>
        <w:sdtPr>
          <w:tag w:val="PROJECT_LOCATION"/>
          <w:alias w:val="PROJECT_LOCATION"/>
          <w:text/>
          <w:id w:val="1003"/>
        </w:sdtPr>
        <w:sdtContent>
          <w:r>
            <w:rPr>
              <w:color w:val="555555"/>
            </w:rPr>
            <w:t>To confirm</w:t>
          </w:r>
        </w:sdtContent>
      </w:sdt>
    </w:p>
    <w:p>
      <w:pPr>
        <w:tabs>
          <w:tab w:pos="5256" w:val="left"/>
        </w:tabs>
        <w:spacing w:after="100"/>
      </w:pPr>
      <w:r>
        <w:rPr>
          <w:b/>
        </w:rPr>
        <w:t xml:space="preserve">Stair ID and type  </w:t>
      </w:r>
      <w:sdt>
        <w:sdtPr>
          <w:tag w:val="STAIR_ID_TYPE"/>
          <w:alias w:val="STAIR_ID_TYPE"/>
          <w:text/>
          <w:id w:val="1004"/>
        </w:sdtPr>
        <w:sdtContent>
          <w:r>
            <w:rPr>
              <w:color w:val="555555"/>
            </w:rPr>
            <w:t>To confirm</w:t>
          </w:r>
        </w:sdtContent>
      </w:sdt>
      <w:r>
        <w:tab/>
      </w:r>
      <w:r>
        <w:rPr>
          <w:b/>
        </w:rPr>
        <w:t xml:space="preserve">Quantity and locations  </w:t>
      </w:r>
      <w:sdt>
        <w:sdtPr>
          <w:tag w:val="QUANTITY_LOCATIONS"/>
          <w:alias w:val="QUANTITY_LOCATIONS"/>
          <w:text/>
          <w:id w:val="1005"/>
        </w:sdtPr>
        <w:sdtContent>
          <w:r>
            <w:rPr>
              <w:color w:val="555555"/>
            </w:rPr>
            <w:t>To confirm</w:t>
          </w:r>
        </w:sdtContent>
      </w:sdt>
    </w:p>
    <w:p>
      <w:pPr>
        <w:spacing w:after="100"/>
      </w:pPr>
      <w:r>
        <w:rPr>
          <w:b/>
        </w:rPr>
        <w:t xml:space="preserve">Building and connected floors  </w:t>
      </w:r>
      <w:sdt>
        <w:sdtPr>
          <w:tag w:val="BUILDING_FLOORS"/>
          <w:alias w:val="BUILDING_FLOORS"/>
          <w:text/>
          <w:id w:val="1006"/>
        </w:sdtPr>
        <w:sdtContent>
          <w:r>
            <w:rPr>
              <w:color w:val="555555"/>
            </w:rPr>
            <w:t>To confirm</w:t>
          </w:r>
        </w:sdtContent>
      </w:sdt>
    </w:p>
    <w:p>
      <w:pPr>
        <w:tabs>
          <w:tab w:pos="5256" w:val="left"/>
        </w:tabs>
        <w:spacing w:after="100"/>
      </w:pPr>
      <w:r>
        <w:rPr>
          <w:b/>
        </w:rPr>
        <w:t xml:space="preserve">Prepared by and contact  </w:t>
      </w:r>
      <w:sdt>
        <w:sdtPr>
          <w:tag w:val="PREPARED_CONTACT"/>
          <w:alias w:val="PREPARED_CONTACT"/>
          <w:text/>
          <w:id w:val="1007"/>
        </w:sdtPr>
        <w:sdtContent>
          <w:r>
            <w:rPr>
              <w:color w:val="555555"/>
            </w:rPr>
            <w:t>To confirm</w:t>
          </w:r>
        </w:sdtContent>
      </w:sdt>
      <w:r>
        <w:tab/>
      </w:r>
      <w:r>
        <w:rPr>
          <w:b/>
        </w:rPr>
        <w:t xml:space="preserve">Recipient  </w:t>
      </w:r>
      <w:sdt>
        <w:sdtPr>
          <w:tag w:val="RECIPIENT"/>
          <w:alias w:val="RECIPIENT"/>
          <w:text/>
          <w:id w:val="1008"/>
        </w:sdtPr>
        <w:sdtContent>
          <w:r>
            <w:rPr>
              <w:color w:val="555555"/>
            </w:rPr>
            <w:t>To confirm</w:t>
          </w:r>
        </w:sdtContent>
      </w:sdt>
    </w:p>
    <w:p>
      <w:pPr>
        <w:spacing w:after="100"/>
      </w:pPr>
      <w:r>
        <w:rPr>
          <w:b/>
        </w:rPr>
        <w:t xml:space="preserve">Use and scope  </w:t>
      </w:r>
      <w:sdt>
        <w:sdtPr>
          <w:tag w:val="USE_SCOPE"/>
          <w:alias w:val="USE_SCOPE"/>
          <w:text/>
          <w:id w:val="1009"/>
        </w:sdtPr>
        <w:sdtContent>
          <w:r>
            <w:rPr>
              <w:color w:val="555555"/>
            </w:rPr>
            <w:t>To confirm indoor or outdoor use and new work replacement or alteration</w:t>
          </w:r>
        </w:sdtContent>
      </w:sdt>
    </w:p>
    <w:p>
      <w:pPr>
        <w:pStyle w:val="Heading1"/>
      </w:pPr>
      <w:r>
        <w:t>Survey and measurement basis</w:t>
      </w:r>
    </w:p>
    <w:p>
      <w:pPr>
        <w:tabs>
          <w:tab w:pos="5256" w:val="left"/>
        </w:tabs>
        <w:spacing w:after="100"/>
      </w:pPr>
      <w:r>
        <w:rPr>
          <w:b/>
        </w:rPr>
        <w:t xml:space="preserve">Dimension unit  </w:t>
      </w:r>
      <w:sdt>
        <w:sdtPr>
          <w:tag w:val="DIM_UNIT"/>
          <w:alias w:val="DIM_UNIT"/>
          <w:text/>
          <w:id w:val="1010"/>
        </w:sdtPr>
        <w:sdtContent>
          <w:r>
            <w:rPr>
              <w:color w:val="555555"/>
            </w:rPr>
            <w:t>To confirm</w:t>
          </w:r>
        </w:sdtContent>
      </w:sdt>
      <w:r>
        <w:tab/>
      </w:r>
      <w:r>
        <w:rPr>
          <w:b/>
        </w:rPr>
        <w:t xml:space="preserve">Survey date and source  </w:t>
      </w:r>
      <w:sdt>
        <w:sdtPr>
          <w:tag w:val="SURVEY_DATE_SOURCE"/>
          <w:alias w:val="SURVEY_DATE_SOURCE"/>
          <w:text/>
          <w:id w:val="1011"/>
        </w:sdtPr>
        <w:sdtContent>
          <w:r>
            <w:rPr>
              <w:color w:val="555555"/>
            </w:rPr>
            <w:t>To confirm</w:t>
          </w:r>
        </w:sdtContent>
      </w:sdt>
    </w:p>
    <w:p>
      <w:pPr>
        <w:spacing w:after="100"/>
      </w:pPr>
      <w:r>
        <w:rPr>
          <w:b/>
        </w:rPr>
        <w:t xml:space="preserve">Surveyor and drawing or photo references  </w:t>
      </w:r>
      <w:sdt>
        <w:sdtPr>
          <w:tag w:val="SURVEYOR_SOURCE"/>
          <w:alias w:val="SURVEYOR_SOURCE"/>
          <w:text/>
          <w:id w:val="1012"/>
        </w:sdtPr>
        <w:sdtContent>
          <w:r>
            <w:rPr>
              <w:color w:val="555555"/>
            </w:rPr>
            <w:t>To confirm</w:t>
          </w:r>
        </w:sdtContent>
      </w:sdt>
    </w:p>
    <w:p>
      <w:pPr>
        <w:spacing w:after="100"/>
      </w:pPr>
      <w:r>
        <w:rPr>
          <w:b/>
        </w:rPr>
        <w:t xml:space="preserve">Lower reference surface and planned finish build up  </w:t>
      </w:r>
      <w:sdt>
        <w:sdtPr>
          <w:tag w:val="LOWER_BASIS_FINISH"/>
          <w:alias w:val="LOWER_BASIS_FINISH"/>
          <w:text/>
          <w:id w:val="1013"/>
        </w:sdtPr>
        <w:sdtContent>
          <w:r>
            <w:rPr>
              <w:color w:val="555555"/>
            </w:rPr>
            <w:t>To confirm</w:t>
          </w:r>
        </w:sdtContent>
      </w:sdt>
    </w:p>
    <w:p>
      <w:pPr>
        <w:spacing w:after="100"/>
      </w:pPr>
      <w:r>
        <w:rPr>
          <w:b/>
        </w:rPr>
        <w:t xml:space="preserve">Upper reference surface and planned finish build up  </w:t>
      </w:r>
      <w:sdt>
        <w:sdtPr>
          <w:tag w:val="UPPER_BASIS_FINISH"/>
          <w:alias w:val="UPPER_BASIS_FINISH"/>
          <w:text/>
          <w:id w:val="1014"/>
        </w:sdtPr>
        <w:sdtContent>
          <w:r>
            <w:rPr>
              <w:color w:val="555555"/>
            </w:rPr>
            <w:t>To confirm</w:t>
          </w:r>
        </w:sdtContent>
      </w:sdt>
    </w:p>
    <w:p>
      <w:pPr>
        <w:tabs>
          <w:tab w:pos="5256" w:val="left"/>
        </w:tabs>
        <w:spacing w:after="100"/>
      </w:pPr>
      <w:r>
        <w:rPr>
          <w:b/>
        </w:rPr>
        <w:t xml:space="preserve">Measured vertical height  </w:t>
      </w:r>
      <w:sdt>
        <w:sdtPr>
          <w:tag w:val="MEASURED_HEIGHT"/>
          <w:alias w:val="MEASURED_HEIGHT"/>
          <w:text/>
          <w:id w:val="1015"/>
        </w:sdtPr>
        <w:sdtContent>
          <w:r>
            <w:rPr>
              <w:color w:val="555555"/>
            </w:rPr>
            <w:t>To confirm</w:t>
          </w:r>
        </w:sdtContent>
      </w:sdt>
      <w:r>
        <w:tab/>
      </w:r>
      <w:r>
        <w:rPr>
          <w:b/>
        </w:rPr>
        <w:t xml:space="preserve">Finished total rise  </w:t>
      </w:r>
      <w:sdt>
        <w:sdtPr>
          <w:tag w:val="FINISHED_RISE"/>
          <w:alias w:val="FINISHED_RISE"/>
          <w:text/>
          <w:id w:val="1016"/>
        </w:sdtPr>
        <w:sdtContent>
          <w:r>
            <w:rPr>
              <w:color w:val="555555"/>
            </w:rPr>
            <w:t>To confirm</w:t>
          </w:r>
        </w:sdtContent>
      </w:sdt>
    </w:p>
    <w:p>
      <w:pPr>
        <w:spacing w:after="120"/>
      </w:pPr>
      <w:r>
        <w:t>For a subfloor to subfloor measurement, estimated finished rise equals measured height plus the upper finish thickness minus the lower finish thickness. Identify assumptions and confirm final levels before production.</w:t>
      </w:r>
    </w:p>
    <w:p>
      <w:pPr>
        <w:pStyle w:val="Heading1"/>
      </w:pPr>
      <w:r>
        <w:t>Opening footprint and clearances</w:t>
      </w:r>
    </w:p>
    <w:p>
      <w:pPr>
        <w:spacing w:after="100"/>
      </w:pPr>
      <w:r>
        <w:rPr>
          <w:b/>
        </w:rPr>
        <w:t xml:space="preserve">Opening length width shape and measured edges  </w:t>
      </w:r>
      <w:sdt>
        <w:sdtPr>
          <w:tag w:val="OPENING"/>
          <w:alias w:val="OPENING"/>
          <w:text/>
          <w:id w:val="1017"/>
        </w:sdtPr>
        <w:sdtContent>
          <w:r>
            <w:rPr>
              <w:color w:val="555555"/>
            </w:rPr>
            <w:t>To confirm</w:t>
          </w:r>
        </w:sdtContent>
      </w:sdt>
    </w:p>
    <w:p>
      <w:pPr>
        <w:spacing w:after="100"/>
      </w:pPr>
      <w:r>
        <w:rPr>
          <w:b/>
        </w:rPr>
        <w:t xml:space="preserve">Available footprint and entry and exit space  </w:t>
      </w:r>
      <w:sdt>
        <w:sdtPr>
          <w:tag w:val="FOOTPRINT_ENTRY_EXIT"/>
          <w:alias w:val="FOOTPRINT_ENTRY_EXIT"/>
          <w:text/>
          <w:id w:val="1018"/>
        </w:sdtPr>
        <w:sdtContent>
          <w:r>
            <w:rPr>
              <w:color w:val="555555"/>
            </w:rPr>
            <w:t>To confirm</w:t>
          </w:r>
        </w:sdtContent>
      </w:sdt>
    </w:p>
    <w:p>
      <w:pPr>
        <w:tabs>
          <w:tab w:pos="5256" w:val="left"/>
        </w:tabs>
        <w:spacing w:after="100"/>
      </w:pPr>
      <w:r>
        <w:rPr>
          <w:b/>
        </w:rPr>
        <w:t xml:space="preserve">Overall stair width  </w:t>
      </w:r>
      <w:sdt>
        <w:sdtPr>
          <w:tag w:val="OVERALL_WIDTH"/>
          <w:alias w:val="OVERALL_WIDTH"/>
          <w:text/>
          <w:id w:val="1019"/>
        </w:sdtPr>
        <w:sdtContent>
          <w:r>
            <w:rPr>
              <w:color w:val="555555"/>
            </w:rPr>
            <w:t>To confirm</w:t>
          </w:r>
        </w:sdtContent>
      </w:sdt>
      <w:r>
        <w:tab/>
      </w:r>
      <w:r>
        <w:rPr>
          <w:b/>
        </w:rPr>
        <w:t xml:space="preserve">Required clear width  </w:t>
      </w:r>
      <w:sdt>
        <w:sdtPr>
          <w:tag w:val="CLEAR_WIDTH"/>
          <w:alias w:val="CLEAR_WIDTH"/>
          <w:text/>
          <w:id w:val="1020"/>
        </w:sdtPr>
        <w:sdtContent>
          <w:r>
            <w:rPr>
              <w:color w:val="555555"/>
            </w:rPr>
            <w:t>To confirm</w:t>
          </w:r>
        </w:sdtContent>
      </w:sdt>
    </w:p>
    <w:p>
      <w:pPr>
        <w:spacing w:after="100"/>
      </w:pPr>
      <w:r>
        <w:rPr>
          <w:b/>
        </w:rPr>
        <w:t xml:space="preserve">Landings doors beams and other obstructions  </w:t>
      </w:r>
      <w:sdt>
        <w:sdtPr>
          <w:tag w:val="OBSTRUCTIONS"/>
          <w:alias w:val="OBSTRUCTIONS"/>
          <w:text/>
          <w:id w:val="1021"/>
        </w:sdtPr>
        <w:sdtContent>
          <w:r>
            <w:rPr>
              <w:color w:val="555555"/>
            </w:rPr>
            <w:t>To confirm</w:t>
          </w:r>
        </w:sdtContent>
      </w:sdt>
    </w:p>
    <w:p>
      <w:pPr>
        <w:spacing w:after="100"/>
      </w:pPr>
      <w:r>
        <w:rPr>
          <w:b/>
        </w:rPr>
        <w:t xml:space="preserve">Overhead levels and headroom check reference  </w:t>
      </w:r>
      <w:sdt>
        <w:sdtPr>
          <w:tag w:val="HEADROOM_REFERENCE"/>
          <w:alias w:val="HEADROOM_REFERENCE"/>
          <w:text/>
          <w:id w:val="1022"/>
        </w:sdtPr>
        <w:sdtContent>
          <w:r>
            <w:rPr>
              <w:color w:val="555555"/>
            </w:rPr>
            <w:t>To confirm</w:t>
          </w:r>
        </w:sdtContent>
      </w:sdt>
    </w:p>
    <w:p>
      <w:pPr>
        <w:spacing w:after="120"/>
      </w:pPr>
      <w:r>
        <w:t>Label structural or finished edges on a sketch. Map overhead obstructions in section; ceiling height alone does not establish headroom along the proposed stair.</w:t>
      </w:r>
    </w:p>
    <w:p>
      <w:r>
        <w:br w:type="page"/>
      </w:r>
    </w:p>
    <w:p>
      <w:pPr>
        <w:pStyle w:val="Title"/>
      </w:pPr>
      <w:r>
        <w:t>Stair Layout and Specification</w:t>
      </w:r>
    </w:p>
    <w:p>
      <w:pPr>
        <w:tabs>
          <w:tab w:pos="5256" w:val="left"/>
        </w:tabs>
        <w:spacing w:after="100"/>
      </w:pPr>
      <w:r>
        <w:rPr>
          <w:b/>
        </w:rPr>
        <w:t xml:space="preserve">RFQ reference and revision  </w:t>
      </w:r>
      <w:sdt>
        <w:sdtPr>
          <w:tag w:val="RFQ_PAGE2"/>
          <w:alias w:val="RFQ_PAGE2"/>
          <w:text/>
          <w:id w:val="1023"/>
        </w:sdtPr>
        <w:sdtContent>
          <w:r>
            <w:rPr>
              <w:color w:val="555555"/>
            </w:rPr>
            <w:t>To confirm</w:t>
          </w:r>
        </w:sdtContent>
      </w:sdt>
      <w:r>
        <w:tab/>
      </w:r>
      <w:r>
        <w:rPr>
          <w:b/>
        </w:rPr>
        <w:t xml:space="preserve">Stair ID  </w:t>
      </w:r>
      <w:sdt>
        <w:sdtPr>
          <w:tag w:val="STAIR_PAGE2"/>
          <w:alias w:val="STAIR_PAGE2"/>
          <w:text/>
          <w:id w:val="1024"/>
        </w:sdtPr>
        <w:sdtContent>
          <w:r>
            <w:rPr>
              <w:color w:val="555555"/>
            </w:rPr>
            <w:t>To confirm</w:t>
          </w:r>
        </w:sdtContent>
      </w:sdt>
    </w:p>
    <w:p>
      <w:pPr>
        <w:pStyle w:val="Heading1"/>
      </w:pPr>
      <w:r>
        <w:t>Flight record</w:t>
      </w:r>
    </w:p>
    <w:p>
      <w:pPr>
        <w:spacing w:after="120"/>
      </w:pPr>
      <w:r>
        <w:t>Copy this record for each flight. Attach a plan with an UP arrow and a section. Keep stair geometry and quantities linked to the same drawing revision.</w:t>
      </w:r>
    </w:p>
    <w:p>
      <w:pPr>
        <w:tabs>
          <w:tab w:pos="5256" w:val="left"/>
        </w:tabs>
        <w:spacing w:after="100"/>
      </w:pPr>
      <w:r>
        <w:rPr>
          <w:b/>
        </w:rPr>
        <w:t xml:space="preserve">Flight ID and from to levels  </w:t>
      </w:r>
      <w:sdt>
        <w:sdtPr>
          <w:tag w:val="FLIGHT_FROM_TO"/>
          <w:alias w:val="FLIGHT_FROM_TO"/>
          <w:text/>
          <w:id w:val="1025"/>
        </w:sdtPr>
        <w:sdtContent>
          <w:r>
            <w:rPr>
              <w:color w:val="555555"/>
            </w:rPr>
            <w:t>To confirm</w:t>
          </w:r>
        </w:sdtContent>
      </w:sdt>
      <w:r>
        <w:tab/>
      </w:r>
      <w:r>
        <w:rPr>
          <w:b/>
        </w:rPr>
        <w:t xml:space="preserve">Layout drawing and revision  </w:t>
      </w:r>
      <w:sdt>
        <w:sdtPr>
          <w:tag w:val="FLIGHT_DRAWING"/>
          <w:alias w:val="FLIGHT_DRAWING"/>
          <w:text/>
          <w:id w:val="1026"/>
        </w:sdtPr>
        <w:sdtContent>
          <w:r>
            <w:rPr>
              <w:color w:val="555555"/>
            </w:rPr>
            <w:t>To confirm</w:t>
          </w:r>
        </w:sdtContent>
      </w:sdt>
    </w:p>
    <w:p>
      <w:pPr>
        <w:tabs>
          <w:tab w:pos="5256" w:val="left"/>
        </w:tabs>
        <w:spacing w:after="100"/>
      </w:pPr>
      <w:r>
        <w:rPr>
          <w:b/>
        </w:rPr>
        <w:t xml:space="preserve">Riser count  </w:t>
      </w:r>
      <w:sdt>
        <w:sdtPr>
          <w:tag w:val="RISER_COUNT"/>
          <w:alias w:val="RISER_COUNT"/>
          <w:text/>
          <w:id w:val="1027"/>
        </w:sdtPr>
        <w:sdtContent>
          <w:r>
            <w:rPr>
              <w:color w:val="555555"/>
            </w:rPr>
            <w:t>To confirm</w:t>
          </w:r>
        </w:sdtContent>
      </w:sdt>
      <w:r>
        <w:tab/>
      </w:r>
      <w:r>
        <w:rPr>
          <w:b/>
        </w:rPr>
        <w:t xml:space="preserve">Separate tread count  </w:t>
      </w:r>
      <w:sdt>
        <w:sdtPr>
          <w:tag w:val="TREAD_COUNT"/>
          <w:alias w:val="TREAD_COUNT"/>
          <w:text/>
          <w:id w:val="1028"/>
        </w:sdtPr>
        <w:sdtContent>
          <w:r>
            <w:rPr>
              <w:color w:val="555555"/>
            </w:rPr>
            <w:t>To confirm</w:t>
          </w:r>
        </w:sdtContent>
      </w:sdt>
    </w:p>
    <w:p>
      <w:pPr>
        <w:tabs>
          <w:tab w:pos="5256" w:val="left"/>
        </w:tabs>
        <w:spacing w:after="100"/>
      </w:pPr>
      <w:r>
        <w:rPr>
          <w:b/>
        </w:rPr>
        <w:t xml:space="preserve">Proposed riser height  </w:t>
      </w:r>
      <w:sdt>
        <w:sdtPr>
          <w:tag w:val="RISER_HEIGHT"/>
          <w:alias w:val="RISER_HEIGHT"/>
          <w:text/>
          <w:id w:val="1029"/>
        </w:sdtPr>
        <w:sdtContent>
          <w:r>
            <w:rPr>
              <w:color w:val="555555"/>
            </w:rPr>
            <w:t>To confirm</w:t>
          </w:r>
        </w:sdtContent>
      </w:sdt>
      <w:r>
        <w:tab/>
      </w:r>
      <w:r>
        <w:rPr>
          <w:b/>
        </w:rPr>
        <w:t xml:space="preserve">Proposed going and reference  </w:t>
      </w:r>
      <w:sdt>
        <w:sdtPr>
          <w:tag w:val="GOING_REFERENCE"/>
          <w:alias w:val="GOING_REFERENCE"/>
          <w:text/>
          <w:id w:val="1030"/>
        </w:sdtPr>
        <w:sdtContent>
          <w:r>
            <w:rPr>
              <w:color w:val="555555"/>
            </w:rPr>
            <w:t>To confirm</w:t>
          </w:r>
        </w:sdtContent>
      </w:sdt>
    </w:p>
    <w:p>
      <w:pPr>
        <w:spacing w:after="100"/>
      </w:pPr>
      <w:r>
        <w:rPr>
          <w:b/>
        </w:rPr>
        <w:t xml:space="preserve">Flight rise run width and landing dimensions and levels  </w:t>
      </w:r>
      <w:sdt>
        <w:sdtPr>
          <w:tag w:val="FLIGHT_LANDING_DIMENSIONS"/>
          <w:alias w:val="FLIGHT_LANDING_DIMENSIONS"/>
          <w:text/>
          <w:id w:val="1031"/>
        </w:sdtPr>
        <w:sdtContent>
          <w:r>
            <w:rPr>
              <w:color w:val="555555"/>
            </w:rPr>
            <w:t>To confirm</w:t>
          </w:r>
        </w:sdtContent>
      </w:sdt>
    </w:p>
    <w:p>
      <w:pPr>
        <w:spacing w:after="100"/>
      </w:pPr>
      <w:r>
        <w:rPr>
          <w:b/>
        </w:rPr>
        <w:t xml:space="preserve">Spiral or curved details where applicable  </w:t>
      </w:r>
      <w:sdt>
        <w:sdtPr>
          <w:tag w:val="SPIRAL_CURVED"/>
          <w:alias w:val="SPIRAL_CURVED"/>
          <w:text/>
          <w:id w:val="1032"/>
        </w:sdtPr>
        <w:sdtContent>
          <w:r>
            <w:rPr>
              <w:color w:val="555555"/>
            </w:rPr>
            <w:t>To confirm centre diameter entry exit and rotation on the drawing or Not applicable</w:t>
          </w:r>
        </w:sdtContent>
      </w:sdt>
    </w:p>
    <w:p>
      <w:pPr>
        <w:spacing w:after="120"/>
      </w:pPr>
      <w:r>
        <w:t>Counts require a coordinated layout. When the upper floor is the final walking surface, a conventional single flight often has one fewer separate tread than risers; do not apply this blindly to other arrangements.</w:t>
      </w:r>
    </w:p>
    <w:p>
      <w:pPr>
        <w:pStyle w:val="Heading1"/>
      </w:pPr>
      <w:r>
        <w:t>Components materials and visible finishes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12"/>
        <w:gridCol w:w="6912"/>
      </w:tblGrid>
      <w:tr>
        <w:trPr>
          <w:tblHeader/>
          <w:cantSplit/>
        </w:trPr>
        <w:tc>
          <w:tcPr>
            <w:tcW w:type="dxa" w:w="3312"/>
            <w:shd w:fill="E9EEF1"/>
            <w:vAlign w:val="center"/>
            <w:tcMar>
              <w:top w:w="72" w:type="dxa"/>
              <w:left w:w="96" w:type="dxa"/>
              <w:bottom w:w="72" w:type="dxa"/>
              <w:right w:w="96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rPr>
                <w:b/>
                <w:color w:val="000000"/>
              </w:rPr>
              <w:t>Component and extent</w:t>
            </w:r>
          </w:p>
        </w:tc>
        <w:tc>
          <w:tcPr>
            <w:tcW w:type="dxa" w:w="6912"/>
            <w:shd w:fill="E9EEF1"/>
            <w:vAlign w:val="center"/>
            <w:tcMar>
              <w:top w:w="72" w:type="dxa"/>
              <w:left w:w="96" w:type="dxa"/>
              <w:bottom w:w="72" w:type="dxa"/>
              <w:right w:w="96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rPr>
                <w:b/>
                <w:color w:val="000000"/>
              </w:rPr>
              <w:t>Material system finish and sample reference</w:t>
            </w:r>
          </w:p>
        </w:tc>
      </w:tr>
      <w:tr>
        <w:trPr>
          <w:cantSplit/>
        </w:trPr>
        <w:tc>
          <w:tcPr>
            <w:tcW w:type="dxa" w:w="3312"/>
            <w:vAlign w:val="center"/>
            <w:tcMar>
              <w:top w:w="72" w:type="dxa"/>
              <w:left w:w="96" w:type="dxa"/>
              <w:bottom w:w="72" w:type="dxa"/>
              <w:right w:w="96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5" w:lineRule="auto"/>
            </w:pPr>
            <w:r>
              <w:t>Stringers or primary structure</w:t>
            </w:r>
          </w:p>
        </w:tc>
        <w:tc>
          <w:tcPr>
            <w:tcW w:type="dxa" w:w="6912"/>
            <w:vAlign w:val="center"/>
            <w:tcMar>
              <w:top w:w="72" w:type="dxa"/>
              <w:left w:w="96" w:type="dxa"/>
              <w:bottom w:w="72" w:type="dxa"/>
              <w:right w:w="96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5" w:lineRule="auto"/>
            </w:pPr>
            <w:sdt>
              <w:sdtPr>
                <w:tag w:val="STRINGER_SPEC"/>
                <w:alias w:val="STRINGER_SPEC"/>
                <w:text/>
                <w:id w:val="1033"/>
              </w:sdtPr>
              <w:sdtContent>
                <w:r>
                  <w:rPr>
                    <w:color w:val="555555"/>
                  </w:rPr>
                  <w:t>To confirm</w:t>
                </w:r>
              </w:sdtContent>
            </w:sdt>
          </w:p>
        </w:tc>
      </w:tr>
      <w:tr>
        <w:trPr>
          <w:cantSplit/>
        </w:trPr>
        <w:tc>
          <w:tcPr>
            <w:tcW w:type="dxa" w:w="3312"/>
            <w:vAlign w:val="center"/>
            <w:tcMar>
              <w:top w:w="72" w:type="dxa"/>
              <w:left w:w="96" w:type="dxa"/>
              <w:bottom w:w="72" w:type="dxa"/>
              <w:right w:w="96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5" w:lineRule="auto"/>
            </w:pPr>
            <w:r>
              <w:t>Treads risers and nosings</w:t>
            </w:r>
          </w:p>
        </w:tc>
        <w:tc>
          <w:tcPr>
            <w:tcW w:type="dxa" w:w="6912"/>
            <w:vAlign w:val="center"/>
            <w:tcMar>
              <w:top w:w="72" w:type="dxa"/>
              <w:left w:w="96" w:type="dxa"/>
              <w:bottom w:w="72" w:type="dxa"/>
              <w:right w:w="96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5" w:lineRule="auto"/>
            </w:pPr>
            <w:sdt>
              <w:sdtPr>
                <w:tag w:val="TREAD_RISER_SPEC"/>
                <w:alias w:val="TREAD_RISER_SPEC"/>
                <w:text/>
                <w:id w:val="1034"/>
              </w:sdtPr>
              <w:sdtContent>
                <w:r>
                  <w:rPr>
                    <w:color w:val="555555"/>
                  </w:rPr>
                  <w:t>To confirm</w:t>
                </w:r>
              </w:sdtContent>
            </w:sdt>
          </w:p>
        </w:tc>
      </w:tr>
      <w:tr>
        <w:trPr>
          <w:cantSplit/>
        </w:trPr>
        <w:tc>
          <w:tcPr>
            <w:tcW w:type="dxa" w:w="3312"/>
            <w:vAlign w:val="center"/>
            <w:tcMar>
              <w:top w:w="72" w:type="dxa"/>
              <w:left w:w="96" w:type="dxa"/>
              <w:bottom w:w="72" w:type="dxa"/>
              <w:right w:w="96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5" w:lineRule="auto"/>
            </w:pPr>
            <w:r>
              <w:t>Flight handrails and guards</w:t>
            </w:r>
          </w:p>
        </w:tc>
        <w:tc>
          <w:tcPr>
            <w:tcW w:type="dxa" w:w="6912"/>
            <w:vAlign w:val="center"/>
            <w:tcMar>
              <w:top w:w="72" w:type="dxa"/>
              <w:left w:w="96" w:type="dxa"/>
              <w:bottom w:w="72" w:type="dxa"/>
              <w:right w:w="96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5" w:lineRule="auto"/>
            </w:pPr>
            <w:sdt>
              <w:sdtPr>
                <w:tag w:val="FLIGHT_RAIL_GUARD"/>
                <w:alias w:val="FLIGHT_RAIL_GUARD"/>
                <w:text/>
                <w:id w:val="1035"/>
              </w:sdtPr>
              <w:sdtContent>
                <w:r>
                  <w:rPr>
                    <w:color w:val="555555"/>
                  </w:rPr>
                  <w:t>To confirm sides extents and terminations</w:t>
                </w:r>
              </w:sdtContent>
            </w:sdt>
          </w:p>
        </w:tc>
      </w:tr>
      <w:tr>
        <w:trPr>
          <w:cantSplit/>
        </w:trPr>
        <w:tc>
          <w:tcPr>
            <w:tcW w:type="dxa" w:w="3312"/>
            <w:vAlign w:val="center"/>
            <w:tcMar>
              <w:top w:w="72" w:type="dxa"/>
              <w:left w:w="96" w:type="dxa"/>
              <w:bottom w:w="72" w:type="dxa"/>
              <w:right w:w="96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5" w:lineRule="auto"/>
            </w:pPr>
            <w:r>
              <w:t>Landing and upper opening guards</w:t>
            </w:r>
          </w:p>
        </w:tc>
        <w:tc>
          <w:tcPr>
            <w:tcW w:type="dxa" w:w="6912"/>
            <w:vAlign w:val="center"/>
            <w:tcMar>
              <w:top w:w="72" w:type="dxa"/>
              <w:left w:w="96" w:type="dxa"/>
              <w:bottom w:w="72" w:type="dxa"/>
              <w:right w:w="96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5" w:lineRule="auto"/>
            </w:pPr>
            <w:sdt>
              <w:sdtPr>
                <w:tag w:val="LANDING_OPENING_GUARD"/>
                <w:alias w:val="LANDING_OPENING_GUARD"/>
                <w:text/>
                <w:id w:val="1036"/>
              </w:sdtPr>
              <w:sdtContent>
                <w:r>
                  <w:rPr>
                    <w:color w:val="555555"/>
                  </w:rPr>
                  <w:t>To confirm extents and connections</w:t>
                </w:r>
              </w:sdtContent>
            </w:sdt>
          </w:p>
        </w:tc>
      </w:tr>
      <w:tr>
        <w:trPr>
          <w:cantSplit/>
        </w:trPr>
        <w:tc>
          <w:tcPr>
            <w:tcW w:type="dxa" w:w="3312"/>
            <w:vAlign w:val="center"/>
            <w:tcMar>
              <w:top w:w="72" w:type="dxa"/>
              <w:left w:w="96" w:type="dxa"/>
              <w:bottom w:w="72" w:type="dxa"/>
              <w:right w:w="96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5" w:lineRule="auto"/>
            </w:pPr>
            <w:r>
              <w:t>Glass infill and fixing system</w:t>
            </w:r>
          </w:p>
        </w:tc>
        <w:tc>
          <w:tcPr>
            <w:tcW w:type="dxa" w:w="6912"/>
            <w:vAlign w:val="center"/>
            <w:tcMar>
              <w:top w:w="72" w:type="dxa"/>
              <w:left w:w="96" w:type="dxa"/>
              <w:bottom w:w="72" w:type="dxa"/>
              <w:right w:w="96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5" w:lineRule="auto"/>
            </w:pPr>
            <w:sdt>
              <w:sdtPr>
                <w:tag w:val="GLASS_SYSTEM"/>
                <w:alias w:val="GLASS_SYSTEM"/>
                <w:text/>
                <w:id w:val="1037"/>
              </w:sdtPr>
              <w:sdtContent>
                <w:r>
                  <w:rPr>
                    <w:color w:val="555555"/>
                  </w:rPr>
                  <w:t>To confirm system specification or Not applicable</w:t>
                </w:r>
              </w:sdtContent>
            </w:sdt>
          </w:p>
        </w:tc>
      </w:tr>
      <w:tr>
        <w:trPr>
          <w:cantSplit/>
        </w:trPr>
        <w:tc>
          <w:tcPr>
            <w:tcW w:type="dxa" w:w="3312"/>
            <w:vAlign w:val="center"/>
            <w:tcMar>
              <w:top w:w="72" w:type="dxa"/>
              <w:left w:w="96" w:type="dxa"/>
              <w:bottom w:w="72" w:type="dxa"/>
              <w:right w:w="96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5" w:lineRule="auto"/>
            </w:pPr>
            <w:r>
              <w:t>Lighting and electrical interface</w:t>
            </w:r>
          </w:p>
        </w:tc>
        <w:tc>
          <w:tcPr>
            <w:tcW w:type="dxa" w:w="6912"/>
            <w:vAlign w:val="center"/>
            <w:tcMar>
              <w:top w:w="72" w:type="dxa"/>
              <w:left w:w="96" w:type="dxa"/>
              <w:bottom w:w="72" w:type="dxa"/>
              <w:right w:w="96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5" w:lineRule="auto"/>
            </w:pPr>
            <w:sdt>
              <w:sdtPr>
                <w:tag w:val="LIGHTING_INTERFACE"/>
                <w:alias w:val="LIGHTING_INTERFACE"/>
                <w:text/>
                <w:id w:val="1038"/>
              </w:sdtPr>
              <w:sdtContent>
                <w:r>
                  <w:rPr>
                    <w:color w:val="555555"/>
                  </w:rPr>
                  <w:t>To confirm supply wiring driver access and installer or Not applicable</w:t>
                </w:r>
              </w:sdtContent>
            </w:sdt>
          </w:p>
        </w:tc>
      </w:tr>
    </w:tbl>
    <w:p>
      <w:pPr>
        <w:spacing w:after="0"/>
      </w:pPr>
    </w:p>
    <w:p>
      <w:pPr>
        <w:pStyle w:val="Heading1"/>
      </w:pPr>
      <w:r>
        <w:t>Supports technical checks and responsibility</w:t>
      </w:r>
    </w:p>
    <w:p>
      <w:pPr>
        <w:spacing w:after="100"/>
      </w:pPr>
      <w:r>
        <w:rPr>
          <w:b/>
        </w:rPr>
        <w:t xml:space="preserve">Upper lower and intermediate support locations  </w:t>
      </w:r>
      <w:sdt>
        <w:sdtPr>
          <w:tag w:val="SUPPORT_LOCATIONS"/>
          <w:alias w:val="SUPPORT_LOCATIONS"/>
          <w:text/>
          <w:id w:val="1039"/>
        </w:sdtPr>
        <w:sdtContent>
          <w:r>
            <w:rPr>
              <w:color w:val="555555"/>
            </w:rPr>
            <w:t>To confirm</w:t>
          </w:r>
        </w:sdtContent>
      </w:sdt>
    </w:p>
    <w:p>
      <w:pPr>
        <w:spacing w:after="100"/>
      </w:pPr>
      <w:r>
        <w:rPr>
          <w:b/>
        </w:rPr>
        <w:t xml:space="preserve">Substrates structure and available evidence  </w:t>
      </w:r>
      <w:sdt>
        <w:sdtPr>
          <w:tag w:val="SUBSTRATE_EVIDENCE"/>
          <w:alias w:val="SUBSTRATE_EVIDENCE"/>
          <w:text/>
          <w:id w:val="1040"/>
        </w:sdtPr>
        <w:sdtContent>
          <w:r>
            <w:rPr>
              <w:color w:val="555555"/>
            </w:rPr>
            <w:t>To confirm</w:t>
          </w:r>
        </w:sdtContent>
      </w:sdt>
    </w:p>
    <w:p>
      <w:pPr>
        <w:spacing w:after="100"/>
      </w:pPr>
      <w:r>
        <w:rPr>
          <w:b/>
        </w:rPr>
        <w:t xml:space="preserve">Connection design strengthening and anchor responsibility  </w:t>
      </w:r>
      <w:sdt>
        <w:sdtPr>
          <w:tag w:val="CONNECTION_RESPONSIBILITY"/>
          <w:alias w:val="CONNECTION_RESPONSIBILITY"/>
          <w:text/>
          <w:id w:val="1041"/>
        </w:sdtPr>
        <w:sdtContent>
          <w:r>
            <w:rPr>
              <w:color w:val="555555"/>
            </w:rPr>
            <w:t>To confirm</w:t>
          </w:r>
        </w:sdtContent>
      </w:sdt>
    </w:p>
    <w:p>
      <w:pPr>
        <w:spacing w:after="100"/>
      </w:pPr>
      <w:r>
        <w:rPr>
          <w:b/>
        </w:rPr>
        <w:t xml:space="preserve">Applicable project requirements and technical reviewer  </w:t>
      </w:r>
      <w:sdt>
        <w:sdtPr>
          <w:tag w:val="PROJECT_REQUIREMENTS_REVIEWER"/>
          <w:alias w:val="PROJECT_REQUIREMENTS_REVIEWER"/>
          <w:text/>
          <w:id w:val="1042"/>
        </w:sdtPr>
        <w:sdtContent>
          <w:r>
            <w:rPr>
              <w:color w:val="555555"/>
            </w:rPr>
            <w:t>To confirm</w:t>
          </w:r>
        </w:sdtContent>
      </w:sdt>
    </w:p>
    <w:p>
      <w:pPr>
        <w:spacing w:after="120"/>
      </w:pPr>
      <w:r>
        <w:t>State pending structural and local requirement checks. Do not infer support capacity from a photograph or treat a selected glass type as a complete guard specification.</w:t>
      </w:r>
    </w:p>
    <w:p>
      <w:r>
        <w:br w:type="page"/>
      </w:r>
    </w:p>
    <w:p>
      <w:pPr>
        <w:pStyle w:val="Title"/>
      </w:pPr>
      <w:r>
        <w:t>Scope Delivery and Quotation</w:t>
      </w:r>
    </w:p>
    <w:p>
      <w:pPr>
        <w:tabs>
          <w:tab w:pos="5256" w:val="left"/>
        </w:tabs>
        <w:spacing w:after="100"/>
      </w:pPr>
      <w:r>
        <w:rPr>
          <w:b/>
        </w:rPr>
        <w:t xml:space="preserve">RFQ reference and revision  </w:t>
      </w:r>
      <w:sdt>
        <w:sdtPr>
          <w:tag w:val="RFQ_PAGE3"/>
          <w:alias w:val="RFQ_PAGE3"/>
          <w:text/>
          <w:id w:val="1043"/>
        </w:sdtPr>
        <w:sdtContent>
          <w:r>
            <w:rPr>
              <w:color w:val="555555"/>
            </w:rPr>
            <w:t>To confirm</w:t>
          </w:r>
        </w:sdtContent>
      </w:sdt>
      <w:r>
        <w:tab/>
      </w:r>
      <w:r>
        <w:rPr>
          <w:b/>
        </w:rPr>
        <w:t xml:space="preserve">Stair ID  </w:t>
      </w:r>
      <w:sdt>
        <w:sdtPr>
          <w:tag w:val="STAIR_PAGE3"/>
          <w:alias w:val="STAIR_PAGE3"/>
          <w:text/>
          <w:id w:val="1044"/>
        </w:sdtPr>
        <w:sdtContent>
          <w:r>
            <w:rPr>
              <w:color w:val="555555"/>
            </w:rPr>
            <w:t>To confirm</w:t>
          </w:r>
        </w:sdtContent>
      </w:sdt>
    </w:p>
    <w:p>
      <w:pPr>
        <w:pStyle w:val="Heading1"/>
      </w:pPr>
      <w:r>
        <w:t>Supply and installation boundaries</w:t>
      </w:r>
    </w:p>
    <w:p>
      <w:pPr>
        <w:spacing w:after="120"/>
      </w:pPr>
      <w:r>
        <w:t>For every line, enter Included, Excluded, By others or To confirm, then identify the party and any allowance or exclusion. Do not leave a blank to mean included.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12"/>
        <w:gridCol w:w="6912"/>
      </w:tblGrid>
      <w:tr>
        <w:trPr>
          <w:tblHeader/>
          <w:cantSplit/>
        </w:trPr>
        <w:tc>
          <w:tcPr>
            <w:tcW w:type="dxa" w:w="3312"/>
            <w:shd w:fill="E9EEF1"/>
            <w:vAlign w:val="center"/>
            <w:tcMar>
              <w:top w:w="72" w:type="dxa"/>
              <w:left w:w="96" w:type="dxa"/>
              <w:bottom w:w="72" w:type="dxa"/>
              <w:right w:w="96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rPr>
                <w:b/>
                <w:color w:val="000000"/>
              </w:rPr>
              <w:t>Work item</w:t>
            </w:r>
          </w:p>
        </w:tc>
        <w:tc>
          <w:tcPr>
            <w:tcW w:type="dxa" w:w="6912"/>
            <w:shd w:fill="E9EEF1"/>
            <w:vAlign w:val="center"/>
            <w:tcMar>
              <w:top w:w="72" w:type="dxa"/>
              <w:left w:w="96" w:type="dxa"/>
              <w:bottom w:w="72" w:type="dxa"/>
              <w:right w:w="96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/>
            </w:pPr>
            <w:r>
              <w:rPr>
                <w:b/>
                <w:color w:val="000000"/>
              </w:rPr>
              <w:t>Status party and scope notes</w:t>
            </w:r>
          </w:p>
        </w:tc>
      </w:tr>
      <w:tr>
        <w:trPr>
          <w:cantSplit/>
        </w:trPr>
        <w:tc>
          <w:tcPr>
            <w:tcW w:type="dxa" w:w="3312"/>
            <w:vAlign w:val="center"/>
            <w:tcMar>
              <w:top w:w="72" w:type="dxa"/>
              <w:left w:w="96" w:type="dxa"/>
              <w:bottom w:w="72" w:type="dxa"/>
              <w:right w:w="96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5" w:lineRule="auto"/>
            </w:pPr>
            <w:r>
              <w:t>Survey and technical documents</w:t>
            </w:r>
          </w:p>
        </w:tc>
        <w:tc>
          <w:tcPr>
            <w:tcW w:type="dxa" w:w="6912"/>
            <w:vAlign w:val="center"/>
            <w:tcMar>
              <w:top w:w="72" w:type="dxa"/>
              <w:left w:w="96" w:type="dxa"/>
              <w:bottom w:w="72" w:type="dxa"/>
              <w:right w:w="96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5" w:lineRule="auto"/>
            </w:pPr>
            <w:sdt>
              <w:sdtPr>
                <w:tag w:val="SCOPE_DESIGN"/>
                <w:alias w:val="SCOPE_DESIGN"/>
                <w:text/>
                <w:id w:val="1045"/>
              </w:sdtPr>
              <w:sdtContent>
                <w:r>
                  <w:rPr>
                    <w:color w:val="555555"/>
                  </w:rPr>
                  <w:t>To confirm</w:t>
                </w:r>
              </w:sdtContent>
            </w:sdt>
          </w:p>
        </w:tc>
      </w:tr>
      <w:tr>
        <w:trPr>
          <w:cantSplit/>
        </w:trPr>
        <w:tc>
          <w:tcPr>
            <w:tcW w:type="dxa" w:w="3312"/>
            <w:vAlign w:val="center"/>
            <w:tcMar>
              <w:top w:w="72" w:type="dxa"/>
              <w:left w:w="96" w:type="dxa"/>
              <w:bottom w:w="72" w:type="dxa"/>
              <w:right w:w="96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5" w:lineRule="auto"/>
            </w:pPr>
            <w:r>
              <w:t>Fabrication and finishes</w:t>
            </w:r>
          </w:p>
        </w:tc>
        <w:tc>
          <w:tcPr>
            <w:tcW w:type="dxa" w:w="6912"/>
            <w:vAlign w:val="center"/>
            <w:tcMar>
              <w:top w:w="72" w:type="dxa"/>
              <w:left w:w="96" w:type="dxa"/>
              <w:bottom w:w="72" w:type="dxa"/>
              <w:right w:w="96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5" w:lineRule="auto"/>
            </w:pPr>
            <w:sdt>
              <w:sdtPr>
                <w:tag w:val="SCOPE_FABRICATION"/>
                <w:alias w:val="SCOPE_FABRICATION"/>
                <w:text/>
                <w:id w:val="1046"/>
              </w:sdtPr>
              <w:sdtContent>
                <w:r>
                  <w:rPr>
                    <w:color w:val="555555"/>
                  </w:rPr>
                  <w:t>To confirm</w:t>
                </w:r>
              </w:sdtContent>
            </w:sdt>
          </w:p>
        </w:tc>
      </w:tr>
      <w:tr>
        <w:trPr>
          <w:cantSplit/>
        </w:trPr>
        <w:tc>
          <w:tcPr>
            <w:tcW w:type="dxa" w:w="3312"/>
            <w:vAlign w:val="center"/>
            <w:tcMar>
              <w:top w:w="72" w:type="dxa"/>
              <w:left w:w="96" w:type="dxa"/>
              <w:bottom w:w="72" w:type="dxa"/>
              <w:right w:w="96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5" w:lineRule="auto"/>
            </w:pPr>
            <w:r>
              <w:t>Supports fixings and preparation</w:t>
            </w:r>
          </w:p>
        </w:tc>
        <w:tc>
          <w:tcPr>
            <w:tcW w:type="dxa" w:w="6912"/>
            <w:vAlign w:val="center"/>
            <w:tcMar>
              <w:top w:w="72" w:type="dxa"/>
              <w:left w:w="96" w:type="dxa"/>
              <w:bottom w:w="72" w:type="dxa"/>
              <w:right w:w="96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5" w:lineRule="auto"/>
            </w:pPr>
            <w:sdt>
              <w:sdtPr>
                <w:tag w:val="SCOPE_PREPARATION"/>
                <w:alias w:val="SCOPE_PREPARATION"/>
                <w:text/>
                <w:id w:val="1047"/>
              </w:sdtPr>
              <w:sdtContent>
                <w:r>
                  <w:rPr>
                    <w:color w:val="555555"/>
                  </w:rPr>
                  <w:t>To confirm</w:t>
                </w:r>
              </w:sdtContent>
            </w:sdt>
          </w:p>
        </w:tc>
      </w:tr>
      <w:tr>
        <w:trPr>
          <w:cantSplit/>
        </w:trPr>
        <w:tc>
          <w:tcPr>
            <w:tcW w:type="dxa" w:w="3312"/>
            <w:vAlign w:val="center"/>
            <w:tcMar>
              <w:top w:w="72" w:type="dxa"/>
              <w:left w:w="96" w:type="dxa"/>
              <w:bottom w:w="72" w:type="dxa"/>
              <w:right w:w="96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5" w:lineRule="auto"/>
            </w:pPr>
            <w:r>
              <w:t>Packing freight and insurance</w:t>
            </w:r>
          </w:p>
        </w:tc>
        <w:tc>
          <w:tcPr>
            <w:tcW w:type="dxa" w:w="6912"/>
            <w:vAlign w:val="center"/>
            <w:tcMar>
              <w:top w:w="72" w:type="dxa"/>
              <w:left w:w="96" w:type="dxa"/>
              <w:bottom w:w="72" w:type="dxa"/>
              <w:right w:w="96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5" w:lineRule="auto"/>
            </w:pPr>
            <w:sdt>
              <w:sdtPr>
                <w:tag w:val="SCOPE_FREIGHT"/>
                <w:alias w:val="SCOPE_FREIGHT"/>
                <w:text/>
                <w:id w:val="1048"/>
              </w:sdtPr>
              <w:sdtContent>
                <w:r>
                  <w:rPr>
                    <w:color w:val="555555"/>
                  </w:rPr>
                  <w:t>To confirm</w:t>
                </w:r>
              </w:sdtContent>
            </w:sdt>
          </w:p>
        </w:tc>
      </w:tr>
      <w:tr>
        <w:trPr>
          <w:cantSplit/>
        </w:trPr>
        <w:tc>
          <w:tcPr>
            <w:tcW w:type="dxa" w:w="3312"/>
            <w:vAlign w:val="center"/>
            <w:tcMar>
              <w:top w:w="72" w:type="dxa"/>
              <w:left w:w="96" w:type="dxa"/>
              <w:bottom w:w="72" w:type="dxa"/>
              <w:right w:w="96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5" w:lineRule="auto"/>
            </w:pPr>
            <w:r>
              <w:t>Clearance duties and taxes</w:t>
            </w:r>
          </w:p>
        </w:tc>
        <w:tc>
          <w:tcPr>
            <w:tcW w:type="dxa" w:w="6912"/>
            <w:vAlign w:val="center"/>
            <w:tcMar>
              <w:top w:w="72" w:type="dxa"/>
              <w:left w:w="96" w:type="dxa"/>
              <w:bottom w:w="72" w:type="dxa"/>
              <w:right w:w="96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5" w:lineRule="auto"/>
            </w:pPr>
            <w:sdt>
              <w:sdtPr>
                <w:tag w:val="SCOPE_DUTIES"/>
                <w:alias w:val="SCOPE_DUTIES"/>
                <w:text/>
                <w:id w:val="1049"/>
              </w:sdtPr>
              <w:sdtContent>
                <w:r>
                  <w:rPr>
                    <w:color w:val="555555"/>
                  </w:rPr>
                  <w:t>To confirm</w:t>
                </w:r>
              </w:sdtContent>
            </w:sdt>
          </w:p>
        </w:tc>
      </w:tr>
      <w:tr>
        <w:trPr>
          <w:cantSplit/>
        </w:trPr>
        <w:tc>
          <w:tcPr>
            <w:tcW w:type="dxa" w:w="3312"/>
            <w:vAlign w:val="center"/>
            <w:tcMar>
              <w:top w:w="72" w:type="dxa"/>
              <w:left w:w="96" w:type="dxa"/>
              <w:bottom w:w="72" w:type="dxa"/>
              <w:right w:w="96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5" w:lineRule="auto"/>
            </w:pPr>
            <w:r>
              <w:t>Unloading and floor delivery</w:t>
            </w:r>
          </w:p>
        </w:tc>
        <w:tc>
          <w:tcPr>
            <w:tcW w:type="dxa" w:w="6912"/>
            <w:vAlign w:val="center"/>
            <w:tcMar>
              <w:top w:w="72" w:type="dxa"/>
              <w:left w:w="96" w:type="dxa"/>
              <w:bottom w:w="72" w:type="dxa"/>
              <w:right w:w="96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5" w:lineRule="auto"/>
            </w:pPr>
            <w:sdt>
              <w:sdtPr>
                <w:tag w:val="SCOPE_HANDLING"/>
                <w:alias w:val="SCOPE_HANDLING"/>
                <w:text/>
                <w:id w:val="1050"/>
              </w:sdtPr>
              <w:sdtContent>
                <w:r>
                  <w:rPr>
                    <w:color w:val="555555"/>
                  </w:rPr>
                  <w:t>To confirm</w:t>
                </w:r>
              </w:sdtContent>
            </w:sdt>
          </w:p>
        </w:tc>
      </w:tr>
      <w:tr>
        <w:trPr>
          <w:cantSplit/>
        </w:trPr>
        <w:tc>
          <w:tcPr>
            <w:tcW w:type="dxa" w:w="3312"/>
            <w:vAlign w:val="center"/>
            <w:tcMar>
              <w:top w:w="72" w:type="dxa"/>
              <w:left w:w="96" w:type="dxa"/>
              <w:bottom w:w="72" w:type="dxa"/>
              <w:right w:w="96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5" w:lineRule="auto"/>
            </w:pPr>
            <w:r>
              <w:t>Installation and making good</w:t>
            </w:r>
          </w:p>
        </w:tc>
        <w:tc>
          <w:tcPr>
            <w:tcW w:type="dxa" w:w="6912"/>
            <w:vAlign w:val="center"/>
            <w:tcMar>
              <w:top w:w="72" w:type="dxa"/>
              <w:left w:w="96" w:type="dxa"/>
              <w:bottom w:w="72" w:type="dxa"/>
              <w:right w:w="96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5" w:lineRule="auto"/>
            </w:pPr>
            <w:sdt>
              <w:sdtPr>
                <w:tag w:val="SCOPE_INSTALL"/>
                <w:alias w:val="SCOPE_INSTALL"/>
                <w:text/>
                <w:id w:val="1051"/>
              </w:sdtPr>
              <w:sdtContent>
                <w:r>
                  <w:rPr>
                    <w:color w:val="555555"/>
                  </w:rPr>
                  <w:t>To confirm</w:t>
                </w:r>
              </w:sdtContent>
            </w:sdt>
          </w:p>
        </w:tc>
      </w:tr>
      <w:tr>
        <w:trPr>
          <w:cantSplit/>
        </w:trPr>
        <w:tc>
          <w:tcPr>
            <w:tcW w:type="dxa" w:w="3312"/>
            <w:vAlign w:val="center"/>
            <w:tcMar>
              <w:top w:w="72" w:type="dxa"/>
              <w:left w:w="96" w:type="dxa"/>
              <w:bottom w:w="72" w:type="dxa"/>
              <w:right w:w="96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5" w:lineRule="auto"/>
            </w:pPr>
            <w:r>
              <w:t>Checks cleanup and waste</w:t>
            </w:r>
          </w:p>
        </w:tc>
        <w:tc>
          <w:tcPr>
            <w:tcW w:type="dxa" w:w="6912"/>
            <w:vAlign w:val="center"/>
            <w:tcMar>
              <w:top w:w="72" w:type="dxa"/>
              <w:left w:w="96" w:type="dxa"/>
              <w:bottom w:w="72" w:type="dxa"/>
              <w:right w:w="96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45" w:lineRule="auto"/>
            </w:pPr>
            <w:sdt>
              <w:sdtPr>
                <w:tag w:val="SCOPE_HANDOVER"/>
                <w:alias w:val="SCOPE_HANDOVER"/>
                <w:text/>
                <w:id w:val="1052"/>
              </w:sdtPr>
              <w:sdtContent>
                <w:r>
                  <w:rPr>
                    <w:color w:val="555555"/>
                  </w:rPr>
                  <w:t>To confirm</w:t>
                </w:r>
              </w:sdtContent>
            </w:sdt>
          </w:p>
        </w:tc>
      </w:tr>
    </w:tbl>
    <w:p>
      <w:pPr>
        <w:spacing w:after="0"/>
      </w:pPr>
    </w:p>
    <w:p>
      <w:pPr>
        <w:spacing w:after="100"/>
      </w:pPr>
      <w:r>
        <w:rPr>
          <w:b/>
        </w:rPr>
        <w:t xml:space="preserve">Named delivery point access and handling restrictions  </w:t>
      </w:r>
      <w:sdt>
        <w:sdtPr>
          <w:tag w:val="DELIVERY_ACCESS"/>
          <w:alias w:val="DELIVERY_ACCESS"/>
          <w:text/>
          <w:id w:val="1053"/>
        </w:sdtPr>
        <w:sdtContent>
          <w:r>
            <w:rPr>
              <w:color w:val="555555"/>
            </w:rPr>
            <w:t>To confirm</w:t>
          </w:r>
        </w:sdtContent>
      </w:sdt>
    </w:p>
    <w:p>
      <w:pPr>
        <w:tabs>
          <w:tab w:pos="5256" w:val="left"/>
        </w:tabs>
        <w:spacing w:after="100"/>
      </w:pPr>
      <w:r>
        <w:rPr>
          <w:b/>
        </w:rPr>
        <w:t xml:space="preserve">Target survey and review dates  </w:t>
      </w:r>
      <w:sdt>
        <w:sdtPr>
          <w:tag w:val="SURVEY_REVIEW_DATES"/>
          <w:alias w:val="SURVEY_REVIEW_DATES"/>
          <w:text/>
          <w:id w:val="1054"/>
        </w:sdtPr>
        <w:sdtContent>
          <w:r>
            <w:rPr>
              <w:color w:val="555555"/>
            </w:rPr>
            <w:t>To confirm</w:t>
          </w:r>
        </w:sdtContent>
      </w:sdt>
      <w:r>
        <w:tab/>
      </w:r>
      <w:r>
        <w:rPr>
          <w:b/>
        </w:rPr>
        <w:t xml:space="preserve">Delivery and site readiness  </w:t>
      </w:r>
      <w:sdt>
        <w:sdtPr>
          <w:tag w:val="DELIVERY_READINESS"/>
          <w:alias w:val="DELIVERY_READINESS"/>
          <w:text/>
          <w:id w:val="1055"/>
        </w:sdtPr>
        <w:sdtContent>
          <w:r>
            <w:rPr>
              <w:color w:val="555555"/>
            </w:rPr>
            <w:t>To confirm</w:t>
          </w:r>
        </w:sdtContent>
      </w:sdt>
    </w:p>
    <w:p>
      <w:pPr>
        <w:pStyle w:val="Heading1"/>
      </w:pPr>
      <w:r>
        <w:t>Commercial basis and attachments</w:t>
      </w:r>
    </w:p>
    <w:p>
      <w:pPr>
        <w:spacing w:after="100"/>
      </w:pPr>
      <w:r>
        <w:rPr>
          <w:b/>
        </w:rPr>
        <w:t xml:space="preserve">Currency tax basis validity and price breakdown  </w:t>
      </w:r>
      <w:sdt>
        <w:sdtPr>
          <w:tag w:val="COMMERCIAL_BASIS"/>
          <w:alias w:val="COMMERCIAL_BASIS"/>
          <w:text/>
          <w:id w:val="1056"/>
        </w:sdtPr>
        <w:sdtContent>
          <w:r>
            <w:rPr>
              <w:color w:val="555555"/>
            </w:rPr>
            <w:t>To confirm</w:t>
          </w:r>
        </w:sdtContent>
      </w:sdt>
    </w:p>
    <w:p>
      <w:pPr>
        <w:spacing w:after="100"/>
      </w:pPr>
      <w:r>
        <w:rPr>
          <w:b/>
        </w:rPr>
        <w:t xml:space="preserve">Payment milestones allowances options and warranty  </w:t>
      </w:r>
      <w:sdt>
        <w:sdtPr>
          <w:tag w:val="COMMERCIAL_TERMS"/>
          <w:alias w:val="COMMERCIAL_TERMS"/>
          <w:text/>
          <w:id w:val="1057"/>
        </w:sdtPr>
        <w:sdtContent>
          <w:r>
            <w:rPr>
              <w:color w:val="555555"/>
            </w:rPr>
            <w:t>To confirm</w:t>
          </w:r>
        </w:sdtContent>
      </w:sdt>
    </w:p>
    <w:p>
      <w:pPr>
        <w:spacing w:after="100"/>
      </w:pPr>
      <w:r>
        <w:rPr>
          <w:b/>
        </w:rPr>
        <w:t xml:space="preserve">Attached file references revisions and purposes  </w:t>
      </w:r>
      <w:sdt>
        <w:sdtPr>
          <w:tag w:val="ATTACHMENT_REGISTER"/>
          <w:alias w:val="ATTACHMENT_REGISTER"/>
          <w:text/>
          <w:id w:val="1058"/>
        </w:sdtPr>
        <w:sdtContent>
          <w:r>
            <w:rPr>
              <w:color w:val="555555"/>
            </w:rPr>
            <w:t>To confirm</w:t>
          </w:r>
        </w:sdtContent>
      </w:sdt>
    </w:p>
    <w:p>
      <w:pPr>
        <w:spacing w:after="120"/>
      </w:pPr>
      <w:r>
        <w:t>Include current plans and sections, survey sketches, opening and support photographs, delivery route photographs, finish references and any project specifications. Identify superseded files.</w:t>
      </w:r>
    </w:p>
    <w:p>
      <w:pPr>
        <w:pStyle w:val="Heading1"/>
      </w:pPr>
      <w:r>
        <w:t>Open issues and release status</w:t>
      </w:r>
    </w:p>
    <w:p>
      <w:pPr>
        <w:spacing w:after="100"/>
      </w:pPr>
      <w:r>
        <w:rPr>
          <w:b/>
        </w:rPr>
        <w:t xml:space="preserve">Open issue and affected scope  </w:t>
      </w:r>
      <w:sdt>
        <w:sdtPr>
          <w:tag w:val="OPEN_ISSUE"/>
          <w:alias w:val="OPEN_ISSUE"/>
          <w:text/>
          <w:id w:val="1059"/>
        </w:sdtPr>
        <w:sdtContent>
          <w:r>
            <w:rPr>
              <w:color w:val="555555"/>
            </w:rPr>
            <w:t>To confirm</w:t>
          </w:r>
        </w:sdtContent>
      </w:sdt>
    </w:p>
    <w:p>
      <w:pPr>
        <w:tabs>
          <w:tab w:pos="5256" w:val="left"/>
        </w:tabs>
        <w:spacing w:after="100"/>
      </w:pPr>
      <w:r>
        <w:rPr>
          <w:b/>
        </w:rPr>
        <w:t xml:space="preserve">Response owner and due date  </w:t>
      </w:r>
      <w:sdt>
        <w:sdtPr>
          <w:tag w:val="ISSUE_OWNER_DUE"/>
          <w:alias w:val="ISSUE_OWNER_DUE"/>
          <w:text/>
          <w:id w:val="1060"/>
        </w:sdtPr>
        <w:sdtContent>
          <w:r>
            <w:rPr>
              <w:color w:val="555555"/>
            </w:rPr>
            <w:t>To confirm</w:t>
          </w:r>
        </w:sdtContent>
      </w:sdt>
      <w:r>
        <w:tab/>
      </w:r>
      <w:r>
        <w:rPr>
          <w:b/>
        </w:rPr>
        <w:t xml:space="preserve">Reply reference and status  </w:t>
      </w:r>
      <w:sdt>
        <w:sdtPr>
          <w:tag w:val="ISSUE_REPLY_STATUS"/>
          <w:alias w:val="ISSUE_REPLY_STATUS"/>
          <w:text/>
          <w:id w:val="1061"/>
        </w:sdtPr>
        <w:sdtContent>
          <w:r>
            <w:rPr>
              <w:color w:val="555555"/>
            </w:rPr>
            <w:t>To confirm</w:t>
          </w:r>
        </w:sdtContent>
      </w:sdt>
    </w:p>
    <w:p>
      <w:pPr>
        <w:spacing w:after="100"/>
      </w:pPr>
      <w:r>
        <w:rPr>
          <w:b/>
        </w:rPr>
        <w:t xml:space="preserve">Quotation status and outstanding assumptions  </w:t>
      </w:r>
      <w:sdt>
        <w:sdtPr>
          <w:tag w:val="RFQ_STATUS"/>
          <w:alias w:val="RFQ_STATUS"/>
          <w:text/>
          <w:id w:val="1062"/>
        </w:sdtPr>
        <w:sdtContent>
          <w:r>
            <w:rPr>
              <w:color w:val="555555"/>
            </w:rPr>
            <w:t>To confirm</w:t>
          </w:r>
        </w:sdtContent>
      </w:sdt>
    </w:p>
    <w:p>
      <w:pPr>
        <w:spacing w:after="100"/>
      </w:pPr>
      <w:r>
        <w:rPr>
          <w:b/>
        </w:rPr>
        <w:t xml:space="preserve">Fabrication release reference and authorized scope  </w:t>
      </w:r>
      <w:sdt>
        <w:sdtPr>
          <w:tag w:val="FAB_RELEASE"/>
          <w:alias w:val="FAB_RELEASE"/>
          <w:text/>
          <w:id w:val="1063"/>
        </w:sdtPr>
        <w:sdtContent>
          <w:r>
            <w:rPr>
              <w:color w:val="555555"/>
            </w:rPr>
            <w:t>To confirm separate written release is required</w:t>
          </w:r>
        </w:sdtContent>
      </w:sdt>
    </w:p>
    <w:p>
      <w:pPr>
        <w:spacing w:after="120"/>
      </w:pPr>
      <w:r>
        <w:t>An accepted price or finish selection is not fabrication release. Confirm coordinated dimensions, connections, technical checks and current drawings before the affected work is released.</w:t>
      </w:r>
    </w:p>
    <w:sectPr w:rsidR="00FC693F" w:rsidRPr="0006063C" w:rsidSect="00034616">
      <w:footerReference w:type="default" r:id="rId9"/>
      <w:pgSz w:w="12240" w:h="15840"/>
      <w:pgMar w:top="979" w:right="1008" w:bottom="979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666666"/>
        <w:sz w:val="18"/>
      </w:rPr>
      <w:t xml:space="preserve">Staircase enquiry form  |  Page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eepNext w:val="0"/>
      <w:spacing w:after="80" w:line="252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 w:line="252" w:lineRule="auto"/>
      <w:outlineLvl w:val="0"/>
    </w:pPr>
    <w:rPr>
      <w:rFonts w:cstheme="majorBidi" w:ascii="Arial" w:hAnsi="Arial"/>
      <w:b/>
      <w:bCs/>
      <w:color w:val="000000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00" w:line="252" w:lineRule="auto"/>
      <w:outlineLvl w:val="1"/>
    </w:pPr>
    <w:rPr>
      <w:rFonts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theme="majorBidi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cstheme="majorBidi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cstheme="majorBidi"/>
      <w:color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cstheme="majorBidi"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cstheme="majorBidi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cstheme="majorBidi"/>
      <w:color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cstheme="majorBidi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cstheme="majorBidi"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cstheme="majorBidi"/>
      <w:b/>
      <w:bCs/>
      <w:color w:val="4F81BD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40" w:line="252" w:lineRule="auto" w:before="0"/>
      <w:contextualSpacing/>
    </w:pPr>
    <w:rPr>
      <w:rFonts w:cstheme="majorBidi" w:ascii="Arial" w:hAnsi="Arial"/>
      <w:b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 w:val="0"/>
      <w:numPr>
        <w:ilvl w:val="1"/>
      </w:numPr>
      <w:spacing w:after="80" w:line="252" w:lineRule="auto"/>
    </w:pPr>
    <w:rPr>
      <w:rFonts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cstheme="majorBidi"/>
      <w:i/>
      <w:iCs/>
      <w:color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cstheme="majorBidi"/>
      <w:b/>
      <w:bCs/>
      <w:i/>
      <w:iCs/>
      <w:color w:val="4F81B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cstheme="majorBidi"/>
      <w:color w:val="243F6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cstheme="majorBidi"/>
      <w:i/>
      <w:iCs/>
      <w:color w:val="243F6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cstheme="majorBidi"/>
      <w:i/>
      <w:iCs/>
      <w:color w:val="40404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cstheme="majorBidi"/>
      <w:color w:val="4F81BD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cstheme="majorBidi"/>
      <w:i/>
      <w:iCs/>
      <w:color w:val="40404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/>
      </w:rPr>
      <w:tblPr/>
      <w:tcPr>
        <w:shd w:val="clear" w:color="auto" w:fill="999999" w:themeFill="text1" w:themeFillTint="66"/>
      </w:tcPr>
    </w:tblStylePr>
    <w:tblStylePr w:type="firstCol">
      <w:rPr>
        <w:color w:val="FFFFFF"/>
      </w:rPr>
      <w:tblPr/>
      <w:tcPr>
        <w:shd w:val="clear" w:color="auto" w:fill="000000" w:themeFill="text1" w:themeFillShade="BF"/>
      </w:tcPr>
    </w:tblStylePr>
    <w:tblStylePr w:type="lastCol">
      <w:rPr>
        <w:color w:val="FFFFFF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/>
      </w:rPr>
      <w:tblPr/>
      <w:tcPr>
        <w:shd w:val="clear" w:color="auto" w:fill="B8CCE4" w:themeFill="accent1" w:themeFillTint="66"/>
      </w:tcPr>
    </w:tblStylePr>
    <w:tblStylePr w:type="firstCol">
      <w:rPr>
        <w:color w:val="FFFFFF"/>
      </w:rPr>
      <w:tblPr/>
      <w:tcPr>
        <w:shd w:val="clear" w:color="auto" w:fill="365F91" w:themeFill="accent1" w:themeFillShade="BF"/>
      </w:tcPr>
    </w:tblStylePr>
    <w:tblStylePr w:type="lastCol">
      <w:rPr>
        <w:color w:val="FFFFFF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/>
      </w:rPr>
      <w:tblPr/>
      <w:tcPr>
        <w:shd w:val="clear" w:color="auto" w:fill="E5B8B7" w:themeFill="accent2" w:themeFillTint="66"/>
      </w:tcPr>
    </w:tblStylePr>
    <w:tblStylePr w:type="firstCol">
      <w:rPr>
        <w:color w:val="FFFFFF"/>
      </w:rPr>
      <w:tblPr/>
      <w:tcPr>
        <w:shd w:val="clear" w:color="auto" w:fill="943634" w:themeFill="accent2" w:themeFillShade="BF"/>
      </w:tcPr>
    </w:tblStylePr>
    <w:tblStylePr w:type="lastCol">
      <w:rPr>
        <w:color w:val="FFFFFF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/>
      </w:rPr>
      <w:tblPr/>
      <w:tcPr>
        <w:shd w:val="clear" w:color="auto" w:fill="D6E3BC" w:themeFill="accent3" w:themeFillTint="66"/>
      </w:tcPr>
    </w:tblStylePr>
    <w:tblStylePr w:type="firstCol">
      <w:rPr>
        <w:color w:val="FFFFFF"/>
      </w:rPr>
      <w:tblPr/>
      <w:tcPr>
        <w:shd w:val="clear" w:color="auto" w:fill="76923C" w:themeFill="accent3" w:themeFillShade="BF"/>
      </w:tcPr>
    </w:tblStylePr>
    <w:tblStylePr w:type="lastCol">
      <w:rPr>
        <w:color w:val="FFFFFF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/>
      </w:rPr>
      <w:tblPr/>
      <w:tcPr>
        <w:shd w:val="clear" w:color="auto" w:fill="CCC0D9" w:themeFill="accent4" w:themeFillTint="66"/>
      </w:tcPr>
    </w:tblStylePr>
    <w:tblStylePr w:type="firstCol">
      <w:rPr>
        <w:color w:val="FFFFFF"/>
      </w:rPr>
      <w:tblPr/>
      <w:tcPr>
        <w:shd w:val="clear" w:color="auto" w:fill="5F497A" w:themeFill="accent4" w:themeFillShade="BF"/>
      </w:tcPr>
    </w:tblStylePr>
    <w:tblStylePr w:type="lastCol">
      <w:rPr>
        <w:color w:val="FFFFFF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/>
      </w:rPr>
      <w:tblPr/>
      <w:tcPr>
        <w:shd w:val="clear" w:color="auto" w:fill="B6DDE8" w:themeFill="accent5" w:themeFillTint="66"/>
      </w:tcPr>
    </w:tblStylePr>
    <w:tblStylePr w:type="firstCol">
      <w:rPr>
        <w:color w:val="FFFFFF"/>
      </w:rPr>
      <w:tblPr/>
      <w:tcPr>
        <w:shd w:val="clear" w:color="auto" w:fill="31849B" w:themeFill="accent5" w:themeFillShade="BF"/>
      </w:tcPr>
    </w:tblStylePr>
    <w:tblStylePr w:type="lastCol">
      <w:rPr>
        <w:color w:val="FFFFFF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/>
      </w:rPr>
      <w:tblPr/>
      <w:tcPr>
        <w:shd w:val="clear" w:color="auto" w:fill="FBD4B4" w:themeFill="accent6" w:themeFillTint="66"/>
      </w:tcPr>
    </w:tblStylePr>
    <w:tblStylePr w:type="firstCol">
      <w:rPr>
        <w:color w:val="FFFFFF"/>
      </w:rPr>
      <w:tblPr/>
      <w:tcPr>
        <w:shd w:val="clear" w:color="auto" w:fill="E36C0A" w:themeFill="accent6" w:themeFillShade="BF"/>
      </w:tcPr>
    </w:tblStylePr>
    <w:tblStylePr w:type="lastCol">
      <w:rPr>
        <w:color w:val="FFFFFF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Staircase Quotation Enquiry Form</dc:title>
  <dc:subject>Fillable project information for a staircase quotation</dc:subject>
  <dc:creator>George House Material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